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ascii="宋体" w:eastAsia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hint="eastAsia" w:ascii="宋体" w:eastAsia="宋体" w:cs="宋体"/>
          <w:kern w:val="0"/>
          <w:sz w:val="44"/>
          <w:szCs w:val="44"/>
        </w:rPr>
        <w:t>海口市供销合作社联合社</w:t>
      </w:r>
    </w:p>
    <w:p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hint="eastAsia" w:ascii="宋体" w:eastAsia="宋体" w:cs="宋体"/>
          <w:kern w:val="0"/>
          <w:sz w:val="44"/>
          <w:szCs w:val="44"/>
        </w:rPr>
        <w:t>20</w:t>
      </w:r>
      <w:r>
        <w:rPr>
          <w:rFonts w:hint="eastAsia" w:ascii="宋体" w:eastAsia="宋体" w:cs="宋体"/>
          <w:kern w:val="0"/>
          <w:sz w:val="44"/>
          <w:szCs w:val="44"/>
          <w:lang w:val="en-US" w:eastAsia="zh-CN"/>
        </w:rPr>
        <w:t>23</w:t>
      </w:r>
      <w:r>
        <w:rPr>
          <w:rFonts w:hint="eastAsia" w:ascii="宋体" w:eastAsia="宋体" w:cs="宋体"/>
          <w:kern w:val="0"/>
          <w:sz w:val="44"/>
          <w:szCs w:val="44"/>
        </w:rPr>
        <w:t>年财政支出项目绩效评价报告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一、项目概况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（一）项目单位基本情况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海口市供销合作社联合社（以下简称为“我社”）为海口市人民政府直属正处级全额拨款事业单位。全额拨款事业编制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人，实有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人，内部设有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个正科级职能机构：办公室、党委办公室、基层业务处、经济发展处和行业管理处。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主要工作职责：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、贯彻执行国家、省和市有关农村经济工作，供销社工作的方针、政策和法律法规；研究制定并组织实施供销社系统的发展规划和工作方案，指导供销社系统的改革与发展。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、对重要农业生产资料、再生资源、烟花爆竹等行业进行组织、协调、管理；组建供销系统各类行业协会。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、坚持为“三农”服务宗旨，增强为农服务功能，指导基层供销社发展专业合作社、消费合作社，推动农业产业化经营，开拓城乡经济社会协调发展。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、指导和监督供销社系统的资产管理，依法维护供销社的合法权益，整合、改造、提升供销系统的经营网络，确保社有资产保值增值。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、负责协调与政府部门、社会组织的关系，及时反映供销社系统改革和发展的新情况新问题，并提出相关建议。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、负责供销社系统党建、纪检监察、计划生育、社会治安、安全生产、干部培训等工作。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、承办市委、市政府和上级供销合作社交办的其他工作。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（二）项目基本性质、用途和主要内容、涉及范围</w:t>
      </w:r>
    </w:p>
    <w:p>
      <w:pPr>
        <w:widowControl w:val="0"/>
        <w:wordWrap/>
        <w:autoSpaceDE w:val="0"/>
        <w:autoSpaceDN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项目名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1.持续推进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农产品集采集配平台。2.全面提升农业社会化服务能力。3.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建设完善县域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商业流通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体系。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多措并举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开展消费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帮扶和产销对接。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2022年底，市供销社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发起成立海口供销农产品供应链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有限公司，通过线上归集农产品订单、定向生产，线下供销集配中心进行农产品“统购分销”，实现农产品从基地到终端用户的全链条直通，有效降低流通环节成本。截至目前，平台6000吨冷库已投入使用，已入驻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惠源食品、海纳日新、万晋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等一批优质供应商。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常态化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实现向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新成监狱、边检站、民警食堂、75841部队、字节公司、鲜悦食品等多家单位供应全品类食材，年配送量已突破2000万元。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省一流标准的农产品检测、分拣、加工、储存、配送一体化场地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拟于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正式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运营。围绕参与农业产前、产中、产后全产业链条的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参股企业新供实业、椰供生鲜和供销e采稳步推进，2024年可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陆续投入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运营。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农产品“基地直通”模式的推广将助力农民“菜园子”增收、市民“菜篮子”减负。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本次主要对持续推进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农产品集采集配平台项目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多措并举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开展消费帮扶和产销对接进行绩效评价。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（三）跨年度项目的预期总目标及阶段性目标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项目为经常性项目，非跨年度项目。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开展消费帮扶和产销对接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项目为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跨年度项目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二、项目资金使用及管理情况</w:t>
      </w:r>
    </w:p>
    <w:p>
      <w:pPr>
        <w:autoSpaceDE w:val="0"/>
        <w:autoSpaceDN w:val="0"/>
        <w:adjustRightInd w:val="0"/>
        <w:ind w:firstLine="640" w:firstLineChars="200"/>
        <w:jc w:val="both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（一）项目资金到位情况分析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五一田洋为农服务综合体建设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项目经费</w:t>
      </w:r>
      <w:r>
        <w:rPr>
          <w:rFonts w:asci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年预算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110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万元，上述项目资金在当年已由市财政下达到我社，共计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110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（二）项目资金使用情况分析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本次主要对持续推进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农产品集采集配平台项目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多措并举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开展消费帮扶和产销对接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项目已按计划使用资金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62.28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万元，用于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对持续推进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农产品集采集配平台项目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多措并举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开展消费帮扶和产销对接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（三）项目资金管理情况分析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根据国家和省市相关规定，不断加强财务管理内控制度，进一步完善经费管理。项目资金拨付严格审批程序，使用规范，会计核算结果真实、准确。此次绩效评价过程中未发现有截留、挤占或挪用项目资金的情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三、项目组织实施情况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（一）项目组织情况分析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我社严格执行《海口市财政局关于印发海口市市本级项目支出预算管理办法的通知》（海财预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[2016]6956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号），将项目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资金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62.28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万元用于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对持续推进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农产品集采集配平台项目和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多措并举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开展消费帮扶和产销对接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。。我社安排项目业务由合作指导科科室组织实施，负责工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程进度和工程质量，资金支出由办公室统筹办理。项目组织机构合理，分工明确。项目按工程项目的有关规定编制了预算。施工内容主要是以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开展消费助农活动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牵头搭建“海口经济圈”供销系统共享平台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。目前上述已验收合格。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产销对接项目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跨年度项目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”为跨年度项目，后期我社安排了合作指导科科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室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继续跟踪项目的进度及项目的成效。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（二）项目管理情况分析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，我社执行国家和省市的相关规定，未单独制定相关的管理制度。我社积极探索完善项目管理的有效机制，不断完善管理制度，形成了一套行之有效的资金和项目管理体系。保证了此经常性项目——为农服务中心项目的安全有效运行，确保了各项目顺利实施。执行不定期的日常监督检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四、项目绩效情况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（一）项目绩效目标完成情况分析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项目的经济性分析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上述项目预算投资金额110万元，于当年支出62.28万元，项目实施过程中严格按照项目预算科目及有关政策规定进行支付。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2.项目的效率性分析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（1）项目的实施进度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根据项目运行方案，实施严格的项目管理。截止2023年12月底，项目已经完成部分实施，项目经费已拨付62.28元。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）项目完成质量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根据项目运行方案，细化任务，合理配置资源，建立项目控制管理机制，规避项目风险，确保了整个项目的质量，项目完成质量较好。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项目已经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完工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并通过验收，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项目已投入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运营，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我社执行相关国家及省市的规定，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已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制定相关的规章制度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项目的效益性分析</w:t>
      </w:r>
    </w:p>
    <w:p>
      <w:pPr>
        <w:widowControl w:val="0"/>
        <w:wordWrap/>
        <w:autoSpaceDE w:val="0"/>
        <w:autoSpaceDN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2022年底，市供销社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发起成立海口供销农产品供应链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有限公司，通过线上归集农产品订单、定向生产，线下供销集配中心进行农产品“统购分销”，实现农产品从基地到终端用户的全链条直通，有效降低流通环节成本。截至目前，平台6000吨冷库已投入使用，已入驻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惠源食品、海纳日新、万晋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等一批优质供应商。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常态化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实现向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新成监狱、边检站、民警食堂、75841部队、字节公司、鲜悦食品等多家单位供应全品类食材，年配送量已突破2000万元。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省一流标准的农产品检测、分拣、加工、储存、配送一体化场地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拟于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正式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运营。围绕参与农业产前、产中、产后全产业链条的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参股企业新供实业、椰供生鲜和供销e采稳步推进，2024年可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陆续投入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运营。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农产品“基地直通”模式的推广将助力农民“菜园子”增收、市民“菜篮子”减负。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为做好巩固脱贫攻坚成果与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乡村振兴的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有效衔接，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作为全市消费帮扶牵头单位，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市供销社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认真贯彻落实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相关工作指示精神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多措并举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抓好落实。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开展消费助农活动。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截至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11月份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指导并组织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全市各级开展线下消费助农集市活动共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场，销售金额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381.89万元，受益农户18470户次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牵头搭建“海口经济圈”供销系统共享平台。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联合澄迈、文昌、定安、屯昌等4家供销联社，发起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组建“海口经济圈”供销系统区域合作发展联盟，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在建立工作交流机制、组织消费助农活动、加强流通体系建设等3方面达成共识，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进一步强化了供销系统区域合作基础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介入荔枝产业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开展产销对接。指导三门坡、谭文等7家琼山片区基层社组建区域荔枝产销联盟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及海口三门坡为农服务运营有限公司，通过打造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“供销优鲜”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海口火山荔枝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，深入推广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农业社会化服务。2023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市供销社位于三门坡镇的农产品分拣集散中心累计销售荔枝9600余万元。其中出口印尼、马来西亚等国35万斤，销售金额800万元。线上与东方甄选、甘福园、果江南等抖音头部电商企业合作销售60余万单共300余万斤，销售金额5000余万元。线下与盒马生鲜、大润发、百果园等企业合作销售500余万斤，销售金额3500余万元。</w:t>
      </w:r>
    </w:p>
    <w:p>
      <w:pPr>
        <w:widowControl w:val="0"/>
        <w:wordWrap/>
        <w:autoSpaceDE w:val="0"/>
        <w:autoSpaceDN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项目的可持续性分析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我社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加快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建设完善县域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商业流通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体系。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以渠道下沉和农产品上行为主线，推动资源要素向农村市场倾斜，持续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完善镇级为农服务中心和村级综合服务社，畅通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生活用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品下乡和农产品进城双向流通渠道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辖区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农民生产生活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助力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县域商业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高质量发展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实现农民增收与消费提质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目前，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市供销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社已在全市建设镇级为农服务中心12家，村级综合服务社49家，基本覆盖海口较大镇域。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项目预算批复的绩效指标完成情况分析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我社在对持续推进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农产品集采集配平台项目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多措并举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开展消费帮扶和产销对接已按计划完成，项目取得良好的政治效益、社会效益、绩效指标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达到设定的目标。满意度情况：经我社对受益群众进行调查，调查结果为满意度为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97.32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，满意度评价为优。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项目绩效目标未完成情况分析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对持续推进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农产品集采集配平台项目和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多措并举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开展消费帮扶和产销对接已经完工并通过验收，项目已投入试运营，我社执行相关国家及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省市的规定，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已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制定相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关的规章制度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五、综合评价情况及评价结论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年度，我社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对持续推进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农产品集采集配平台项目和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多措并举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开展消费帮扶和产销对接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项目已投入试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在目标设定、决策过程、资金分配、资金到位、资金管理、组织实施、项目效果等方面落实情况较好，总自评分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97.32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分，评价等级为优。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六、主要经验及做法、存在的问题和建议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（一）主要经验及做法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、积极响应国家政策，落实深化供销合作社综合改革我社在市委、市政府的指导下，认真贯彻落实《中共中央国务院关于深化供销合作社综合改革的决定》（中发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[2015]11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号）和《中共海南省委海南省政府关于深化供销合作社综合改革的实施意见》（琼发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[2016]9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号）文件精神，根据市委、市政府的工作部署，认真履行公益性和经营性服务职能，全面推进各项工作的深入开展。建设了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五一田洋为农服务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中心，是我社根据中央与省、市供销改革精神进行农业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社会化服务的探索，为把全市供销系统打造成服务农民生产生活的生力军和综合平台，体现供销合作社公益职能和企业社会责任，更好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地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为农业提供产前、产中、产后服务。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、项目效果显著，切实为农户服务。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打造农业社会化服务“生态圈”。2023年8月份，联合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中化公司海南分公司、中国邮政海口分公司等7家龙头企业（单位），成立了海口供销农业社会化服务大联盟。通过平台内资源共享、互惠互利，率先在海口区域实现农业社会化服务优势资源的有效整合。同时，因地制宜在琼山、美兰、龙华区成立为农服务区域联盟，为周边农民提供农资、农技及培训等服务，从今年8月联盟成立至今，已在全省实现土地托管面积约1.5万亩，农资销售实现从0到1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吨的跨越式增长，受益农户达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万人次。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探索打造供销农产品自有品牌。发展农业全产业链，最终实现“订单农业”是供销合作社有效开展为农服务的重要手段。市供销社通过在生产端探索培育农产品种植示范基地，从源头打造“椰供靓品”供销自有品牌，推动“订单农业”模式发展。2023年8月，在龙华区五一田洋打造水稻种植示范基地50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种子取自优质水稻品种“泰优1002”，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从种植、管护及后期收割全程参与，迈出建设海口供销自有农产品品牌的第一步。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、组织得力，项目实施过程程序规范，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我社安排项目业务由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合作指导科科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室组织实施，负责工程进度和工程质量，资金支出由办公室统筹办理。项目组织机构合理，分工明确。项目实施过程严格执行国家及省市的相关规定，程序规范。</w:t>
      </w:r>
    </w:p>
    <w:p>
      <w:pPr>
        <w:numPr>
          <w:ilvl w:val="0"/>
          <w:numId w:val="2"/>
        </w:numPr>
        <w:autoSpaceDE w:val="0"/>
        <w:autoSpaceDN w:val="0"/>
        <w:adjustRightInd w:val="0"/>
        <w:ind w:firstLine="640" w:firstLineChars="200"/>
        <w:jc w:val="left"/>
      </w:pPr>
      <w:r>
        <w:rPr>
          <w:rFonts w:hint="eastAsia" w:ascii="楷体" w:hAnsi="楷体" w:eastAsia="楷体" w:cs="楷体"/>
          <w:kern w:val="0"/>
          <w:sz w:val="32"/>
          <w:szCs w:val="32"/>
        </w:rPr>
        <w:t>存在的问题和建议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持续推进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农产品集采集配平台</w:t>
      </w:r>
      <w:r>
        <w:rPr>
          <w:rFonts w:hint="eastAsia" w:ascii="仿宋_GB2312" w:hAnsi="DengXian" w:eastAsia="仿宋_GB2312" w:cs="仿宋_GB2312"/>
          <w:kern w:val="0"/>
          <w:sz w:val="32"/>
          <w:szCs w:val="32"/>
          <w:lang w:val="en-US" w:eastAsia="zh-CN" w:bidi="ar-SA"/>
        </w:rPr>
        <w:pict>
          <v:shape id="图片 34" o:spid="_x0000_s1026" o:spt="75" type="#_x0000_t75" style="position:absolute;left:0pt;margin-left:267.2pt;margin-top:155.1pt;height:119.25pt;width:119.25pt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项目为经常性项目，我社执行相关国家及省市的规定，未制定相关的规章制度。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开展消费帮扶和产销对接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项目为跨年度性项目，已制定相关的规章制度。建议积极探索完善项目管理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的有效机制，完善管理制度。</w:t>
      </w:r>
    </w:p>
    <w:p>
      <w:pPr>
        <w:pStyle w:val="13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pStyle w:val="13"/>
        <w:ind w:left="0" w:leftChars="0" w:firstLine="0" w:firstLineChars="0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pStyle w:val="13"/>
        <w:jc w:val="righ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海口市供销合作社联合社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2A6ECA"/>
    <w:multiLevelType w:val="singleLevel"/>
    <w:tmpl w:val="AA2A6EC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5F7FFD1"/>
    <w:multiLevelType w:val="singleLevel"/>
    <w:tmpl w:val="65F7FFD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9DDFF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spacing w:after="0"/>
      <w:ind w:left="0" w:leftChars="0" w:firstLine="960"/>
    </w:pPr>
    <w:rPr>
      <w:rFonts w:ascii="仿宋" w:eastAsia="仿宋" w:cs="宋体"/>
      <w:sz w:val="32"/>
      <w:szCs w:val="32"/>
    </w:r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semiHidden/>
    <w:unhideWhenUsed/>
    <w:qFormat/>
    <w:uiPriority w:val="0"/>
  </w:style>
  <w:style w:type="character" w:styleId="11">
    <w:name w:val="FollowedHyperlink"/>
    <w:semiHidden/>
    <w:unhideWhenUsed/>
    <w:qFormat/>
    <w:uiPriority w:val="0"/>
    <w:rPr>
      <w:color w:val="535353"/>
      <w:u w:val="none"/>
    </w:rPr>
  </w:style>
  <w:style w:type="character" w:styleId="12">
    <w:name w:val="Hyperlink"/>
    <w:semiHidden/>
    <w:unhideWhenUsed/>
    <w:qFormat/>
    <w:uiPriority w:val="0"/>
    <w:rPr>
      <w:color w:val="535353"/>
      <w:u w:val="none"/>
    </w:rPr>
  </w:style>
  <w:style w:type="paragraph" w:customStyle="1" w:styleId="13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14">
    <w:name w:val="页眉 字符"/>
    <w:link w:val="6"/>
    <w:qFormat/>
    <w:uiPriority w:val="0"/>
    <w:rPr>
      <w:rFonts w:ascii="DengXian" w:hAnsi="DengXian" w:eastAsia="DengXian"/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rFonts w:ascii="DengXian" w:hAnsi="DengXian" w:eastAsia="DengXi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680</Words>
  <Characters>3876</Characters>
  <Lines>32</Lines>
  <Paragraphs>9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2020-04-22T14:20:00Z</dcterms:created>
  <dc:creator>sqq</dc:creator>
  <cp:lastModifiedBy>lenovo</cp:lastModifiedBy>
  <cp:lastPrinted>2021-04-19T16:37:00Z</cp:lastPrinted>
  <dcterms:modified xsi:type="dcterms:W3CDTF">2024-03-26T11:07:36Z</dcterms:modified>
  <dc:title>海口市供销合作社联合社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