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before="170" w:line="185" w:lineRule="auto"/>
        <w:ind w:firstLine="878"/>
        <w:jc w:val="center"/>
        <w:rPr>
          <w:rFonts w:hint="eastAsia" w:ascii="黑体" w:hAnsi="黑体" w:eastAsia="黑体" w:cs="黑体"/>
          <w:spacing w:val="-7"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spacing w:val="-7"/>
          <w:sz w:val="56"/>
          <w:szCs w:val="56"/>
          <w:lang w:val="en-US" w:eastAsia="zh-CN"/>
        </w:rPr>
        <w:t>海口市城郊供销合作社</w:t>
      </w:r>
    </w:p>
    <w:p>
      <w:pPr>
        <w:spacing w:before="170" w:line="185" w:lineRule="auto"/>
        <w:ind w:firstLine="878"/>
        <w:jc w:val="center"/>
        <w:rPr>
          <w:rFonts w:hint="eastAsia" w:ascii="黑体" w:hAnsi="黑体" w:eastAsia="黑体" w:cs="黑体"/>
          <w:lang w:val="en-US" w:eastAsia="zh-CN"/>
        </w:rPr>
        <w:sectPr>
          <w:pgSz w:w="11907" w:h="16839"/>
          <w:pgMar w:top="1431" w:right="1785" w:bottom="0" w:left="1785" w:header="0" w:footer="0" w:gutter="0"/>
          <w:cols w:space="720" w:num="1"/>
        </w:sectPr>
      </w:pPr>
      <w:r>
        <w:rPr>
          <w:rFonts w:hint="eastAsia" w:ascii="黑体" w:hAnsi="黑体" w:eastAsia="黑体" w:cs="黑体"/>
          <w:spacing w:val="-7"/>
          <w:sz w:val="56"/>
          <w:szCs w:val="56"/>
          <w:lang w:val="en-US" w:eastAsia="zh-CN"/>
        </w:rPr>
        <w:t>2021</w:t>
      </w:r>
      <w:r>
        <w:rPr>
          <w:rFonts w:hint="eastAsia" w:ascii="黑体" w:hAnsi="黑体" w:eastAsia="黑体" w:cs="黑体"/>
          <w:spacing w:val="-7"/>
          <w:sz w:val="56"/>
          <w:szCs w:val="56"/>
        </w:rPr>
        <w:t>年预算</w:t>
      </w:r>
      <w:r>
        <w:rPr>
          <w:rFonts w:hint="eastAsia" w:ascii="黑体" w:hAnsi="黑体" w:eastAsia="黑体" w:cs="黑体"/>
          <w:spacing w:val="-7"/>
          <w:sz w:val="56"/>
          <w:szCs w:val="56"/>
          <w:lang w:val="en-US" w:eastAsia="zh-CN"/>
        </w:rPr>
        <w:t>公开说明</w:t>
      </w:r>
    </w:p>
    <w:p>
      <w:pPr>
        <w:spacing w:before="214" w:line="185" w:lineRule="auto"/>
        <w:ind w:firstLine="3734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pacing w:val="-21"/>
          <w:sz w:val="52"/>
          <w:szCs w:val="52"/>
        </w:rPr>
        <w:t>目录</w:t>
      </w:r>
    </w:p>
    <w:p>
      <w:pPr>
        <w:spacing w:before="360" w:line="624" w:lineRule="exact"/>
        <w:ind w:firstLine="26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position w:val="22"/>
          <w:sz w:val="32"/>
          <w:szCs w:val="32"/>
        </w:rPr>
        <w:t>第一部分</w:t>
      </w:r>
      <w:r>
        <w:rPr>
          <w:rFonts w:ascii="黑体" w:hAnsi="黑体" w:eastAsia="黑体" w:cs="黑体"/>
          <w:spacing w:val="34"/>
          <w:position w:val="2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pacing w:val="-11"/>
          <w:position w:val="22"/>
          <w:sz w:val="32"/>
          <w:szCs w:val="32"/>
          <w:lang w:val="en-US" w:eastAsia="zh-CN"/>
        </w:rPr>
        <w:t>海口市城郊供销合作社</w:t>
      </w:r>
      <w:r>
        <w:rPr>
          <w:rFonts w:hint="eastAsia" w:ascii="黑体" w:hAnsi="黑体" w:eastAsia="黑体" w:cs="黑体"/>
          <w:spacing w:val="-11"/>
          <w:position w:val="22"/>
          <w:sz w:val="32"/>
          <w:szCs w:val="32"/>
        </w:rPr>
        <w:t>概况</w:t>
      </w:r>
    </w:p>
    <w:p>
      <w:pPr>
        <w:spacing w:before="305" w:line="184" w:lineRule="auto"/>
        <w:ind w:firstLine="26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7"/>
          <w:sz w:val="32"/>
          <w:szCs w:val="32"/>
        </w:rPr>
        <w:t>第二部分</w:t>
      </w:r>
      <w:r>
        <w:rPr>
          <w:rFonts w:ascii="黑体" w:hAnsi="黑体" w:eastAsia="黑体" w:cs="黑体"/>
          <w:spacing w:val="55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pacing w:val="-27"/>
          <w:sz w:val="32"/>
          <w:szCs w:val="32"/>
          <w:lang w:val="en-US" w:eastAsia="zh-CN"/>
        </w:rPr>
        <w:t>海口市城郊供销合作社2021年单位</w:t>
      </w:r>
      <w:r>
        <w:rPr>
          <w:rFonts w:hint="eastAsia" w:ascii="黑体" w:hAnsi="黑体" w:eastAsia="黑体" w:cs="黑体"/>
          <w:spacing w:val="-27"/>
          <w:sz w:val="32"/>
          <w:szCs w:val="32"/>
        </w:rPr>
        <w:t>预算表</w:t>
      </w:r>
    </w:p>
    <w:p>
      <w:pPr>
        <w:spacing w:before="305" w:line="184" w:lineRule="auto"/>
        <w:ind w:firstLine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4"/>
          <w:sz w:val="32"/>
          <w:szCs w:val="32"/>
        </w:rPr>
        <w:t>一、</w:t>
      </w:r>
      <w:r>
        <w:rPr>
          <w:rFonts w:ascii="仿宋" w:hAnsi="仿宋" w:eastAsia="仿宋" w:cs="仿宋"/>
          <w:spacing w:val="1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财政拨款收支总表</w:t>
      </w:r>
    </w:p>
    <w:p>
      <w:pPr>
        <w:spacing w:before="305" w:line="184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二、</w:t>
      </w:r>
      <w:r>
        <w:rPr>
          <w:rFonts w:ascii="仿宋" w:hAnsi="仿宋" w:eastAsia="仿宋" w:cs="仿宋"/>
          <w:spacing w:val="1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一般公共预算支出表</w:t>
      </w:r>
    </w:p>
    <w:p>
      <w:pPr>
        <w:spacing w:before="305" w:line="184" w:lineRule="auto"/>
        <w:ind w:firstLine="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三、</w:t>
      </w:r>
      <w:r>
        <w:rPr>
          <w:rFonts w:ascii="仿宋" w:hAnsi="仿宋" w:eastAsia="仿宋" w:cs="仿宋"/>
          <w:spacing w:val="1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一般公共预算基本支出表</w:t>
      </w:r>
    </w:p>
    <w:p>
      <w:pPr>
        <w:spacing w:before="305" w:line="184" w:lineRule="auto"/>
        <w:ind w:firstLine="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四、</w:t>
      </w:r>
      <w:r>
        <w:rPr>
          <w:rFonts w:ascii="仿宋" w:hAnsi="仿宋" w:eastAsia="仿宋" w:cs="仿宋"/>
          <w:spacing w:val="1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一般公共预算“三公”经费支出表</w:t>
      </w:r>
    </w:p>
    <w:p>
      <w:pPr>
        <w:spacing w:before="305" w:line="184" w:lineRule="auto"/>
        <w:ind w:firstLine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五、</w:t>
      </w:r>
      <w:r>
        <w:rPr>
          <w:rFonts w:ascii="仿宋" w:hAnsi="仿宋" w:eastAsia="仿宋" w:cs="仿宋"/>
          <w:spacing w:val="1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政府性基金预算支出表。</w:t>
      </w:r>
    </w:p>
    <w:p>
      <w:pPr>
        <w:spacing w:before="305" w:line="184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六、</w:t>
      </w:r>
      <w:r>
        <w:rPr>
          <w:rFonts w:ascii="仿宋" w:hAnsi="仿宋" w:eastAsia="仿宋" w:cs="仿宋"/>
          <w:spacing w:val="1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政府性基金预算“三公”经费支出表</w:t>
      </w:r>
    </w:p>
    <w:p>
      <w:pPr>
        <w:spacing w:before="305" w:line="184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七、</w:t>
      </w:r>
      <w:r>
        <w:rPr>
          <w:rFonts w:ascii="仿宋" w:hAnsi="仿宋" w:eastAsia="仿宋" w:cs="仿宋"/>
          <w:spacing w:val="1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单位收支总表</w:t>
      </w:r>
    </w:p>
    <w:p>
      <w:pPr>
        <w:spacing w:before="305" w:line="184" w:lineRule="auto"/>
        <w:ind w:firstLine="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八、</w:t>
      </w:r>
      <w:r>
        <w:rPr>
          <w:rFonts w:ascii="仿宋" w:hAnsi="仿宋" w:eastAsia="仿宋" w:cs="仿宋"/>
          <w:spacing w:val="1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单位收入总表</w:t>
      </w:r>
    </w:p>
    <w:p>
      <w:pPr>
        <w:spacing w:before="305" w:line="184" w:lineRule="auto"/>
        <w:ind w:firstLine="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九、</w:t>
      </w:r>
      <w:r>
        <w:rPr>
          <w:rFonts w:ascii="仿宋" w:hAnsi="仿宋" w:eastAsia="仿宋" w:cs="仿宋"/>
          <w:spacing w:val="1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单位支出总表</w:t>
      </w:r>
    </w:p>
    <w:p>
      <w:pPr>
        <w:spacing w:before="306" w:line="184" w:lineRule="auto"/>
        <w:ind w:firstLine="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十、</w:t>
      </w:r>
      <w:r>
        <w:rPr>
          <w:rFonts w:ascii="仿宋" w:hAnsi="仿宋" w:eastAsia="仿宋" w:cs="仿宋"/>
          <w:spacing w:val="1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项目支出绩效信息表</w:t>
      </w:r>
    </w:p>
    <w:p>
      <w:pPr>
        <w:spacing w:before="304" w:line="360" w:lineRule="auto"/>
        <w:ind w:left="1348" w:right="13" w:hanging="1322"/>
        <w:rPr>
          <w:rFonts w:ascii="黑体" w:hAnsi="黑体" w:eastAsia="黑体" w:cs="黑体"/>
          <w:spacing w:val="-27"/>
          <w:sz w:val="32"/>
          <w:szCs w:val="32"/>
        </w:rPr>
      </w:pPr>
    </w:p>
    <w:p>
      <w:pPr>
        <w:spacing w:before="304" w:line="360" w:lineRule="auto"/>
        <w:ind w:left="1348" w:right="13" w:hanging="132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7"/>
          <w:sz w:val="32"/>
          <w:szCs w:val="32"/>
        </w:rPr>
        <w:t>第三部分</w:t>
      </w:r>
      <w:r>
        <w:rPr>
          <w:rFonts w:ascii="黑体" w:hAnsi="黑体" w:eastAsia="黑体" w:cs="黑体"/>
          <w:spacing w:val="5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pacing w:val="-27"/>
          <w:sz w:val="32"/>
          <w:szCs w:val="32"/>
          <w:lang w:val="en-US" w:eastAsia="zh-CN"/>
        </w:rPr>
        <w:t>海口市城郊供销合作社2021年单位</w:t>
      </w:r>
      <w:r>
        <w:rPr>
          <w:rFonts w:ascii="黑体" w:hAnsi="黑体" w:eastAsia="黑体" w:cs="黑体"/>
          <w:spacing w:val="-27"/>
          <w:sz w:val="32"/>
          <w:szCs w:val="32"/>
        </w:rPr>
        <w:t>预算情</w:t>
      </w:r>
      <w:r>
        <w:rPr>
          <w:rFonts w:ascii="黑体" w:hAnsi="黑体" w:eastAsia="黑体" w:cs="黑体"/>
          <w:spacing w:val="-6"/>
          <w:sz w:val="32"/>
          <w:szCs w:val="32"/>
        </w:rPr>
        <w:t>况说明</w:t>
      </w:r>
    </w:p>
    <w:p>
      <w:pPr>
        <w:spacing w:before="1" w:line="202" w:lineRule="auto"/>
        <w:ind w:firstLine="26"/>
        <w:rPr>
          <w:rFonts w:ascii="黑体" w:hAnsi="黑体" w:eastAsia="黑体" w:cs="黑体"/>
          <w:spacing w:val="-4"/>
          <w:sz w:val="32"/>
          <w:szCs w:val="32"/>
        </w:rPr>
      </w:pPr>
    </w:p>
    <w:p>
      <w:pPr>
        <w:spacing w:before="1" w:line="202" w:lineRule="auto"/>
        <w:ind w:firstLine="2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第四部分</w:t>
      </w:r>
      <w:r>
        <w:rPr>
          <w:rFonts w:ascii="黑体" w:hAnsi="黑体" w:eastAsia="黑体" w:cs="黑体"/>
          <w:spacing w:val="19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4"/>
          <w:sz w:val="32"/>
          <w:szCs w:val="32"/>
        </w:rPr>
        <w:t>名词解释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0" w:line="360" w:lineRule="auto"/>
        <w:ind w:firstLine="1598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第一部分</w:t>
      </w:r>
      <w:r>
        <w:rPr>
          <w:rFonts w:ascii="黑体" w:hAnsi="黑体" w:eastAsia="黑体" w:cs="黑体"/>
          <w:spacing w:val="58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海口市城郊供销合作社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概况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" w:hAnsi="仿宋" w:eastAsia="仿宋"/>
          <w:b w:val="0"/>
          <w:sz w:val="32"/>
          <w:szCs w:val="36"/>
          <w:shd w:val="clear" w:color="auto" w:fill="FFFFFF"/>
        </w:rPr>
      </w:pPr>
      <w:r>
        <w:rPr>
          <w:rFonts w:hint="eastAsia" w:ascii="仿宋" w:hAnsi="仿宋" w:eastAsia="仿宋"/>
          <w:b w:val="0"/>
          <w:sz w:val="32"/>
          <w:szCs w:val="36"/>
        </w:rPr>
        <w:t>海口市城郊供销合作社</w:t>
      </w:r>
      <w:r>
        <w:rPr>
          <w:rFonts w:hint="eastAsia" w:ascii="仿宋" w:hAnsi="仿宋" w:eastAsia="仿宋"/>
          <w:b w:val="0"/>
          <w:color w:val="000000"/>
          <w:sz w:val="32"/>
          <w:szCs w:val="36"/>
          <w:shd w:val="clear" w:color="auto" w:fill="FFFFFF"/>
        </w:rPr>
        <w:t>的前身是琼山市（县）供销合作联社，琼山县供销合作联社成立于1951年，1994年改名为琼山市供销合作联社，2012年经海编[2012]3号文件批准更名为海口市城郊供销合作社。</w:t>
      </w:r>
      <w:r>
        <w:rPr>
          <w:rFonts w:hint="eastAsia" w:ascii="仿宋" w:hAnsi="仿宋" w:eastAsia="仿宋"/>
          <w:b w:val="0"/>
          <w:sz w:val="32"/>
          <w:szCs w:val="36"/>
        </w:rPr>
        <w:t>海口市城郊供销合作社为财政预算全额拨款的正科级事业单位</w:t>
      </w:r>
      <w:r>
        <w:rPr>
          <w:rFonts w:hint="eastAsia" w:ascii="仿宋" w:hAnsi="仿宋" w:eastAsia="仿宋"/>
          <w:b w:val="0"/>
          <w:sz w:val="32"/>
          <w:szCs w:val="36"/>
          <w:lang w:eastAsia="zh-CN"/>
        </w:rPr>
        <w:t>，隶属海口市供销合作社联合社，受委托继续管理原琼山市供销合作联社部分基层社和下属企业，履行供销联社的职责。核定财政全额预算管理事业编制12名，</w:t>
      </w:r>
      <w:r>
        <w:rPr>
          <w:rFonts w:hint="eastAsia" w:ascii="仿宋" w:hAnsi="仿宋" w:eastAsia="仿宋"/>
          <w:b w:val="0"/>
          <w:sz w:val="32"/>
          <w:szCs w:val="36"/>
          <w:lang w:val="en-US" w:eastAsia="zh-CN"/>
        </w:rPr>
        <w:t>现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</w:rPr>
        <w:t>在职事业单位编制人数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</w:rPr>
        <w:t>人，其他人员1人（提前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  <w:lang w:val="en-US" w:eastAsia="zh-CN"/>
        </w:rPr>
        <w:t>退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</w:rPr>
        <w:t>养），离退休人数3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2"/>
          <w:szCs w:val="36"/>
          <w:shd w:val="clear" w:color="auto" w:fill="FFFFFF"/>
        </w:rPr>
        <w:t>人，遗属人员3人。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00"/>
        <w:jc w:val="center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00"/>
        <w:jc w:val="center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第二部分 </w:t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海口市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城郊供销合作社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年部门预算表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一、财政拨款收支总表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二、一般公共预算支出表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三、一般公共预算基本支出表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四、一般公共预算“三公”经费支出表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五、政府性基金预算支出表。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/>
        <w:textAlignment w:val="baseline"/>
        <w:rPr>
          <w:rFonts w:hint="eastAsia" w:ascii="仿宋_GB2312" w:hAnsi="黑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政府性基金预算“三公”经费支出表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七、部门收支总表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八、部门收入总表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九、部门支出总表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jc w:val="left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黑体" w:eastAsia="仿宋_GB2312" w:cs="仿宋_GB2312"/>
          <w:sz w:val="32"/>
          <w:szCs w:val="32"/>
        </w:rPr>
        <w:t>、项目支出绩效信息表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宋体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宋体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黑体" w:hAnsi="黑体" w:eastAsia="黑体" w:cs="黑体"/>
          <w:spacing w:val="-19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pacing w:val="-19"/>
          <w:sz w:val="32"/>
          <w:szCs w:val="32"/>
        </w:rPr>
        <w:t>第三部分</w:t>
      </w:r>
      <w:r>
        <w:rPr>
          <w:rFonts w:ascii="黑体" w:hAnsi="黑体" w:eastAsia="黑体" w:cs="黑体"/>
          <w:spacing w:val="21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海口市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城郊供销合作社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年部门预算情况说明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9" w:line="360" w:lineRule="auto"/>
        <w:ind w:left="38" w:right="142" w:firstLine="677"/>
        <w:textAlignment w:val="baseline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16"/>
          <w:sz w:val="32"/>
          <w:szCs w:val="32"/>
        </w:rPr>
        <w:t>一、关于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海口市城郊供销合作社单位2021</w:t>
      </w:r>
      <w:r>
        <w:rPr>
          <w:rFonts w:hint="eastAsia" w:ascii="黑体" w:hAnsi="黑体" w:eastAsia="黑体" w:cs="黑体"/>
          <w:spacing w:val="-16"/>
          <w:sz w:val="32"/>
          <w:szCs w:val="32"/>
        </w:rPr>
        <w:t>年财政拨款收支预算</w:t>
      </w:r>
      <w:r>
        <w:rPr>
          <w:rFonts w:hint="eastAsia" w:ascii="黑体" w:hAnsi="黑体" w:eastAsia="黑体" w:cs="黑体"/>
          <w:spacing w:val="-2"/>
          <w:sz w:val="32"/>
          <w:szCs w:val="32"/>
        </w:rPr>
        <w:t>情况的总体说明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96" w:firstLineChars="200"/>
        <w:jc w:val="left"/>
        <w:textAlignment w:val="baseline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海口市城郊供销合作社2021</w:t>
      </w:r>
      <w:r>
        <w:rPr>
          <w:rFonts w:ascii="仿宋" w:hAnsi="仿宋" w:eastAsia="仿宋" w:cs="仿宋"/>
          <w:spacing w:val="-11"/>
          <w:sz w:val="32"/>
          <w:szCs w:val="32"/>
        </w:rPr>
        <w:t>年财政拨款收支总预算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166.16</w:t>
      </w:r>
      <w:r>
        <w:rPr>
          <w:rFonts w:ascii="仿宋" w:hAnsi="仿宋" w:eastAsia="仿宋" w:cs="仿宋"/>
          <w:spacing w:val="-11"/>
          <w:sz w:val="32"/>
          <w:szCs w:val="32"/>
        </w:rPr>
        <w:t>万</w:t>
      </w:r>
      <w:r>
        <w:rPr>
          <w:rFonts w:ascii="仿宋" w:hAnsi="仿宋" w:eastAsia="仿宋" w:cs="仿宋"/>
          <w:spacing w:val="-20"/>
          <w:sz w:val="32"/>
          <w:szCs w:val="32"/>
        </w:rPr>
        <w:t>元。其中，收入总计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166.16</w:t>
      </w:r>
      <w:r>
        <w:rPr>
          <w:rFonts w:ascii="仿宋" w:hAnsi="仿宋" w:eastAsia="仿宋" w:cs="仿宋"/>
          <w:spacing w:val="-20"/>
          <w:sz w:val="32"/>
          <w:szCs w:val="32"/>
        </w:rPr>
        <w:t>万元，包括一般公共预算本年收入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166.16</w:t>
      </w:r>
      <w:r>
        <w:rPr>
          <w:rFonts w:ascii="仿宋" w:hAnsi="仿宋" w:eastAsia="仿宋" w:cs="仿宋"/>
          <w:spacing w:val="-11"/>
          <w:sz w:val="32"/>
          <w:szCs w:val="32"/>
        </w:rPr>
        <w:t>万元、上年结转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pacing w:val="-11"/>
          <w:sz w:val="32"/>
          <w:szCs w:val="32"/>
        </w:rPr>
        <w:t>万元，政府性基金预算本年收入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pacing w:val="-20"/>
          <w:sz w:val="32"/>
          <w:szCs w:val="32"/>
        </w:rPr>
        <w:t>万元、上年结转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pacing w:val="-20"/>
          <w:sz w:val="32"/>
          <w:szCs w:val="32"/>
        </w:rPr>
        <w:t>万元；支出总计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166.16</w:t>
      </w:r>
      <w:r>
        <w:rPr>
          <w:rFonts w:ascii="仿宋" w:hAnsi="仿宋" w:eastAsia="仿宋" w:cs="仿宋"/>
          <w:spacing w:val="-20"/>
          <w:sz w:val="32"/>
          <w:szCs w:val="32"/>
        </w:rPr>
        <w:t>万元，</w:t>
      </w:r>
      <w:r>
        <w:rPr>
          <w:rFonts w:hint="eastAsia" w:ascii="仿宋_GB2312" w:hAnsi="黑体" w:eastAsia="仿宋_GB2312"/>
          <w:sz w:val="32"/>
          <w:szCs w:val="32"/>
        </w:rPr>
        <w:t>包括社会保障和就业支出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38.55</w:t>
      </w:r>
      <w:r>
        <w:rPr>
          <w:rFonts w:hint="eastAsia" w:ascii="仿宋_GB2312" w:hAnsi="黑体" w:eastAsia="仿宋_GB2312"/>
          <w:sz w:val="32"/>
          <w:szCs w:val="32"/>
        </w:rPr>
        <w:t>万元、卫生健康支出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13.89</w:t>
      </w:r>
      <w:r>
        <w:rPr>
          <w:rFonts w:hint="eastAsia" w:ascii="仿宋_GB2312" w:hAnsi="黑体" w:eastAsia="仿宋_GB2312"/>
          <w:sz w:val="32"/>
          <w:szCs w:val="32"/>
        </w:rPr>
        <w:t>万元、商业服务等支出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106.43</w:t>
      </w:r>
      <w:r>
        <w:rPr>
          <w:rFonts w:hint="eastAsia" w:ascii="仿宋_GB2312" w:hAnsi="黑体" w:eastAsia="仿宋_GB2312"/>
          <w:sz w:val="32"/>
          <w:szCs w:val="32"/>
        </w:rPr>
        <w:t>万元和住房保障支出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7.29</w:t>
      </w:r>
      <w:r>
        <w:rPr>
          <w:rFonts w:hint="eastAsia" w:ascii="仿宋_GB2312" w:hAnsi="黑体" w:eastAsia="仿宋_GB2312"/>
          <w:sz w:val="32"/>
          <w:szCs w:val="32"/>
        </w:rPr>
        <w:t>万元，结转下年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4" w:right="141" w:firstLine="648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</w:rPr>
        <w:t>二、关于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海口市城郊供销合作社单位2021</w:t>
      </w:r>
      <w:r>
        <w:rPr>
          <w:rFonts w:hint="eastAsia" w:ascii="黑体" w:hAnsi="黑体" w:eastAsia="黑体" w:cs="黑体"/>
          <w:spacing w:val="-16"/>
          <w:sz w:val="32"/>
          <w:szCs w:val="32"/>
        </w:rPr>
        <w:t>年</w:t>
      </w:r>
      <w:r>
        <w:rPr>
          <w:rFonts w:ascii="黑体" w:hAnsi="黑体" w:eastAsia="黑体" w:cs="黑体"/>
          <w:spacing w:val="-16"/>
          <w:sz w:val="32"/>
          <w:szCs w:val="32"/>
        </w:rPr>
        <w:t>一般公共预算当年</w:t>
      </w:r>
      <w:r>
        <w:rPr>
          <w:rFonts w:ascii="黑体" w:hAnsi="黑体" w:eastAsia="黑体" w:cs="黑体"/>
          <w:spacing w:val="-2"/>
          <w:sz w:val="32"/>
          <w:szCs w:val="32"/>
        </w:rPr>
        <w:t>拨款情况说明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8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3"/>
          <w:sz w:val="32"/>
          <w:szCs w:val="32"/>
        </w:rPr>
        <w:t>（一）一般公共预算当年规模变化情况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8"/>
        <w:textAlignment w:val="baseline"/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海口市城郊供销合作社单位2021年一般公共预算当年拨款166.16万元，比上年预算数增加1.01万元，主要是增加了党建新标杆工作项目。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8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3"/>
          <w:sz w:val="32"/>
          <w:szCs w:val="32"/>
        </w:rPr>
        <w:t>（二）一般公共预算当年拨款结构情况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社会保障和就业（类）</w:t>
      </w:r>
      <w:r>
        <w:rPr>
          <w:rFonts w:hint="eastAsia" w:ascii="仿宋_GB2312" w:hAnsi="黑体" w:eastAsia="仿宋_GB2312" w:cs="仿宋_GB2312"/>
          <w:sz w:val="32"/>
          <w:szCs w:val="32"/>
        </w:rPr>
        <w:t>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38.55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23.20%</w:t>
      </w:r>
      <w:r>
        <w:rPr>
          <w:rFonts w:hint="eastAsia" w:ascii="仿宋_GB2312" w:hAnsi="黑体" w:eastAsia="仿宋_GB2312"/>
          <w:sz w:val="32"/>
          <w:szCs w:val="32"/>
        </w:rPr>
        <w:t>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卫生健康（类）</w:t>
      </w:r>
      <w:r>
        <w:rPr>
          <w:rFonts w:hint="eastAsia" w:ascii="仿宋_GB2312" w:hAnsi="黑体" w:eastAsia="仿宋_GB2312"/>
          <w:sz w:val="32"/>
          <w:szCs w:val="32"/>
        </w:rPr>
        <w:t>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13.89万元，占8.36%</w:t>
      </w:r>
      <w:r>
        <w:rPr>
          <w:rFonts w:hint="eastAsia" w:ascii="仿宋_GB2312" w:hAnsi="黑体" w:eastAsia="仿宋_GB2312"/>
          <w:sz w:val="32"/>
          <w:szCs w:val="32"/>
        </w:rPr>
        <w:t>；</w:t>
      </w:r>
      <w:r>
        <w:rPr>
          <w:rFonts w:hint="eastAsia" w:ascii="仿宋_GB2312" w:hAnsi="黑体" w:eastAsia="仿宋_GB2312" w:cs="仿宋_GB2312"/>
          <w:sz w:val="32"/>
          <w:szCs w:val="32"/>
        </w:rPr>
        <w:t>商业服务业等支出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（类）</w:t>
      </w:r>
      <w:r>
        <w:rPr>
          <w:rFonts w:hint="eastAsia" w:ascii="仿宋_GB2312" w:hAnsi="黑体" w:eastAsia="仿宋_GB2312"/>
          <w:sz w:val="32"/>
          <w:szCs w:val="32"/>
        </w:rPr>
        <w:t>106.43万元，占64.05%；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住房保障（类）</w:t>
      </w:r>
      <w:r>
        <w:rPr>
          <w:rFonts w:hint="eastAsia" w:ascii="仿宋_GB2312" w:hAnsi="黑体" w:eastAsia="仿宋_GB2312"/>
          <w:sz w:val="32"/>
          <w:szCs w:val="32"/>
        </w:rPr>
        <w:t>支出7.29万元，占4.39%。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38" w:leftChars="304" w:firstLine="0" w:firstLineChars="0"/>
        <w:textAlignment w:val="baseline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ascii="楷体" w:hAnsi="楷体" w:eastAsia="楷体" w:cs="楷体"/>
          <w:spacing w:val="-2"/>
          <w:sz w:val="32"/>
          <w:szCs w:val="32"/>
        </w:rPr>
        <w:t>一般公共预算当年拨款具体使用情况</w:t>
      </w:r>
      <w:r>
        <w:rPr>
          <w:rFonts w:ascii="楷体" w:hAnsi="楷体" w:eastAsia="楷体" w:cs="楷体"/>
          <w:sz w:val="32"/>
          <w:szCs w:val="32"/>
        </w:rPr>
        <w:t xml:space="preserve">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1.社会保障和就业支出（类）行政事业单位养老支出</w:t>
      </w:r>
      <w:r>
        <w:rPr>
          <w:rFonts w:hint="eastAsia" w:ascii="仿宋_GB2312" w:hAnsi="黑体" w:eastAsia="仿宋_GB2312" w:cs="仿宋_GB2312"/>
          <w:sz w:val="32"/>
          <w:szCs w:val="32"/>
        </w:rPr>
        <w:t>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款）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机关事业单位基本养老保险缴费支出（项）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9.67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减少1.53</w:t>
      </w:r>
      <w:r>
        <w:rPr>
          <w:rFonts w:hint="eastAsia" w:ascii="仿宋_GB2312" w:hAnsi="黑体" w:eastAsia="仿宋_GB2312"/>
          <w:sz w:val="32"/>
          <w:szCs w:val="32"/>
        </w:rPr>
        <w:t>万元，主要是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人员工资缴费基数调整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2.社会保障和就业支出（类）行政事业单位养老支出</w:t>
      </w:r>
      <w:r>
        <w:rPr>
          <w:rFonts w:hint="eastAsia" w:ascii="仿宋_GB2312" w:hAnsi="黑体" w:eastAsia="仿宋_GB2312" w:cs="仿宋_GB2312"/>
          <w:sz w:val="32"/>
          <w:szCs w:val="32"/>
        </w:rPr>
        <w:t>（款）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其他行政事业单位养老支出（项）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24.69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增加0.39</w:t>
      </w:r>
      <w:r>
        <w:rPr>
          <w:rFonts w:hint="eastAsia" w:ascii="仿宋_GB2312" w:hAnsi="黑体" w:eastAsia="仿宋_GB2312"/>
          <w:sz w:val="32"/>
          <w:szCs w:val="32"/>
        </w:rPr>
        <w:t>万元，主主要是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人员工资缴费基数调整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3.社会保障和就业支出（类）抚恤</w:t>
      </w:r>
      <w:r>
        <w:rPr>
          <w:rFonts w:hint="eastAsia" w:ascii="仿宋_GB2312" w:hAnsi="黑体" w:eastAsia="仿宋_GB2312" w:cs="仿宋_GB2312"/>
          <w:sz w:val="32"/>
          <w:szCs w:val="32"/>
        </w:rPr>
        <w:t>（款）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其他优抚支出支出（项）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4.20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较</w:t>
      </w:r>
      <w:r>
        <w:rPr>
          <w:rFonts w:hint="eastAsia" w:ascii="仿宋_GB2312" w:hAnsi="黑体" w:eastAsia="仿宋_GB2312"/>
          <w:sz w:val="32"/>
          <w:szCs w:val="32"/>
        </w:rPr>
        <w:t>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基本持平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卫生健康支出（类）行政事业单位医疗</w:t>
      </w:r>
      <w:r>
        <w:rPr>
          <w:rFonts w:hint="eastAsia" w:ascii="仿宋_GB2312" w:hAnsi="黑体" w:eastAsia="仿宋_GB2312" w:cs="仿宋_GB2312"/>
          <w:sz w:val="32"/>
          <w:szCs w:val="32"/>
        </w:rPr>
        <w:t>（款）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事业单位医疗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（项）2021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5.13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万元，比上年预算数减少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0.77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万元，</w:t>
      </w:r>
      <w:r>
        <w:rPr>
          <w:rFonts w:hint="eastAsia" w:ascii="仿宋_GB2312" w:hAnsi="黑体" w:eastAsia="仿宋_GB2312"/>
          <w:sz w:val="32"/>
          <w:szCs w:val="32"/>
        </w:rPr>
        <w:t>主要是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人员工资缴费基数调整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卫生健康支出（类）行政事业单位医疗</w:t>
      </w:r>
      <w:r>
        <w:rPr>
          <w:rFonts w:hint="eastAsia" w:ascii="仿宋_GB2312" w:hAnsi="黑体" w:eastAsia="仿宋_GB2312" w:cs="仿宋_GB2312"/>
          <w:sz w:val="32"/>
          <w:szCs w:val="32"/>
        </w:rPr>
        <w:t>（款）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其他行政事业单位医疗支出（项）2021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8.76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较</w:t>
      </w:r>
      <w:r>
        <w:rPr>
          <w:rFonts w:hint="eastAsia" w:ascii="仿宋_GB2312" w:hAnsi="黑体" w:eastAsia="仿宋_GB2312"/>
          <w:sz w:val="32"/>
          <w:szCs w:val="32"/>
        </w:rPr>
        <w:t>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基本持平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黑体" w:eastAsia="仿宋_GB2312" w:cs="仿宋_GB2312"/>
          <w:sz w:val="32"/>
          <w:szCs w:val="32"/>
        </w:rPr>
        <w:t>商业服务业等支出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（类）商业流通事务（款）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事业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运行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（项）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86.43</w:t>
      </w:r>
      <w:r>
        <w:rPr>
          <w:rFonts w:hint="eastAsia" w:ascii="仿宋_GB2312" w:hAnsi="黑体" w:eastAsia="仿宋_GB2312"/>
          <w:sz w:val="32"/>
          <w:szCs w:val="32"/>
        </w:rPr>
        <w:t>万元，比上年预算数减少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7.24</w:t>
      </w:r>
      <w:r>
        <w:rPr>
          <w:rFonts w:hint="eastAsia" w:ascii="仿宋_GB2312" w:hAnsi="黑体" w:eastAsia="仿宋_GB2312"/>
          <w:sz w:val="32"/>
          <w:szCs w:val="32"/>
        </w:rPr>
        <w:t>万元，主要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各项经费调整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8"/>
        <w:textAlignment w:val="baseline"/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黑体" w:eastAsia="仿宋_GB2312" w:cs="仿宋_GB2312"/>
          <w:sz w:val="32"/>
          <w:szCs w:val="32"/>
        </w:rPr>
        <w:t>商业服务业等支出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（类）商业流通事务（款）</w:t>
      </w:r>
      <w:r>
        <w:rPr>
          <w:rFonts w:hint="eastAsia" w:ascii="仿宋_GB2312" w:hAnsi="黑体" w:eastAsia="仿宋_GB2312" w:cs="仿宋_GB2312"/>
          <w:sz w:val="32"/>
          <w:szCs w:val="32"/>
          <w:highlight w:val="none"/>
          <w:lang w:val="en-US" w:eastAsia="zh-CN"/>
        </w:rPr>
        <w:t>其他商业流通事务支出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（项）</w:t>
      </w:r>
      <w:r>
        <w:rPr>
          <w:rFonts w:hint="eastAsia" w:ascii="仿宋_GB2312" w:hAnsi="黑体" w:eastAsia="仿宋_GB2312" w:cs="仿宋_GB2312"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主要是项目经费增加。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 w:cs="仿宋_GB2312"/>
          <w:sz w:val="32"/>
          <w:szCs w:val="32"/>
        </w:rPr>
        <w:t>.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highlight w:val="none"/>
        </w:rPr>
        <w:t>住房保障支出（类）住房改革支出（款）住房公积金（项）住房保障</w:t>
      </w:r>
      <w:r>
        <w:rPr>
          <w:rFonts w:hint="eastAsia" w:ascii="仿宋_GB2312" w:hAnsi="黑体" w:eastAsia="仿宋_GB2312" w:cs="仿宋_GB2312"/>
          <w:sz w:val="32"/>
          <w:szCs w:val="32"/>
        </w:rPr>
        <w:t>支出202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7.29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较</w:t>
      </w:r>
      <w:r>
        <w:rPr>
          <w:rFonts w:hint="eastAsia" w:ascii="仿宋_GB2312" w:hAnsi="黑体" w:eastAsia="仿宋_GB2312"/>
          <w:sz w:val="32"/>
          <w:szCs w:val="32"/>
        </w:rPr>
        <w:t>上年预算数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基本持平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360" w:lineRule="auto"/>
        <w:ind w:left="36" w:right="162" w:firstLine="637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</w:rPr>
        <w:t>三、关于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海口市城郊供销合作社单位2021</w:t>
      </w:r>
      <w:r>
        <w:rPr>
          <w:rFonts w:ascii="黑体" w:hAnsi="黑体" w:eastAsia="黑体" w:cs="黑体"/>
          <w:spacing w:val="-16"/>
          <w:sz w:val="32"/>
          <w:szCs w:val="32"/>
        </w:rPr>
        <w:t>年一般公共预算基本</w:t>
      </w:r>
      <w:r>
        <w:rPr>
          <w:rFonts w:ascii="黑体" w:hAnsi="黑体" w:eastAsia="黑体" w:cs="黑体"/>
          <w:spacing w:val="-4"/>
          <w:sz w:val="32"/>
          <w:szCs w:val="32"/>
        </w:rPr>
        <w:t>支出情况说明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</w:rPr>
        <w:t>一般公共预算基本支出为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146.16</w:t>
      </w:r>
      <w:r>
        <w:rPr>
          <w:rFonts w:hint="eastAsia" w:ascii="仿宋_GB2312" w:hAnsi="黑体" w:eastAsia="仿宋_GB2312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人员经费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134.88</w:t>
      </w:r>
      <w:r>
        <w:rPr>
          <w:rFonts w:hint="eastAsia" w:ascii="仿宋_GB2312" w:hAnsi="黑体" w:eastAsia="仿宋_GB2312"/>
          <w:sz w:val="32"/>
          <w:szCs w:val="32"/>
        </w:rPr>
        <w:t>万元，主要包括：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基</w:t>
      </w:r>
      <w:r>
        <w:rPr>
          <w:rFonts w:hint="eastAsia" w:ascii="仿宋" w:hAnsi="仿宋" w:eastAsia="仿宋" w:cs="仿宋_GB2312"/>
          <w:sz w:val="32"/>
          <w:szCs w:val="32"/>
        </w:rPr>
        <w:t>本工资、津贴补贴、奖金、绩效工资、机关事业单位基本养老保险缴费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城镇职工基本医疗保险缴费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、公务员医疗补助缴费、其他社会保障缴费、住房公积金、医疗费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和其他工资福利支出</w:t>
      </w:r>
      <w:r>
        <w:rPr>
          <w:rFonts w:hint="eastAsia" w:ascii="仿宋_GB2312" w:hAnsi="黑体" w:eastAsia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公用经费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11.28</w:t>
      </w:r>
      <w:r>
        <w:rPr>
          <w:rFonts w:hint="eastAsia" w:ascii="仿宋_GB2312" w:hAnsi="黑体" w:eastAsia="仿宋_GB2312"/>
          <w:sz w:val="32"/>
          <w:szCs w:val="32"/>
        </w:rPr>
        <w:t>万元，主要包括：</w:t>
      </w:r>
      <w:r>
        <w:rPr>
          <w:rFonts w:hint="eastAsia" w:ascii="仿宋" w:hAnsi="仿宋" w:eastAsia="仿宋" w:cs="仿宋_GB2312"/>
          <w:sz w:val="32"/>
          <w:szCs w:val="32"/>
        </w:rPr>
        <w:t>办公费、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印刷费</w:t>
      </w:r>
      <w:r>
        <w:rPr>
          <w:rFonts w:hint="eastAsia" w:ascii="仿宋" w:hAnsi="仿宋" w:eastAsia="仿宋" w:cs="仿宋_GB2312"/>
          <w:sz w:val="32"/>
          <w:szCs w:val="32"/>
        </w:rPr>
        <w:t>、手续费、水费、电费、邮电费、物业管理费、差旅费、维修(护)费、培训费、工会经费、其他商品和服务支出。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firstLine="576" w:firstLineChars="215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6"/>
          <w:sz w:val="32"/>
          <w:szCs w:val="32"/>
          <w:shd w:val="clear" w:fill="FFFFFE"/>
        </w:rPr>
        <w:t>四、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海口市城郊供销合作社单位2021</w:t>
      </w:r>
      <w:r>
        <w:rPr>
          <w:rFonts w:ascii="黑体" w:hAnsi="黑体" w:eastAsia="黑体" w:cs="黑体"/>
          <w:spacing w:val="-26"/>
          <w:sz w:val="32"/>
          <w:szCs w:val="32"/>
          <w:shd w:val="clear" w:fill="FFFFFE"/>
        </w:rPr>
        <w:t>年“三公”经费预算情况</w:t>
      </w:r>
      <w:r>
        <w:rPr>
          <w:rFonts w:ascii="黑体" w:hAnsi="黑体" w:eastAsia="黑体" w:cs="黑体"/>
          <w:spacing w:val="-5"/>
          <w:sz w:val="32"/>
          <w:szCs w:val="32"/>
          <w:shd w:val="clear" w:fill="FFFFFE"/>
        </w:rPr>
        <w:t>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left="34" w:firstLine="641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18"/>
          <w:sz w:val="32"/>
          <w:szCs w:val="32"/>
        </w:rPr>
        <w:t>（一）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pacing w:val="-18"/>
          <w:sz w:val="32"/>
          <w:szCs w:val="32"/>
        </w:rPr>
        <w:t>年一般公共预算“三公”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经费预算数为</w:t>
      </w:r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pacing w:val="-21"/>
          <w:sz w:val="32"/>
          <w:szCs w:val="32"/>
        </w:rPr>
        <w:t>万元</w:t>
      </w:r>
      <w:r>
        <w:rPr>
          <w:rFonts w:hint="eastAsia" w:ascii="仿宋" w:hAnsi="仿宋" w:eastAsia="仿宋" w:cs="仿宋"/>
          <w:spacing w:val="-2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30"/>
        <w:textAlignment w:val="baseline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hd w:val="clear" w:color="auto" w:fill="FFFFFF"/>
        </w:rPr>
        <w:t>因公出国（境）经费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年预算持平。</w:t>
      </w:r>
      <w:r>
        <w:rPr>
          <w:rFonts w:ascii="Times New Roman" w:hAnsi="Times New Roman" w:eastAsia="仿宋_GB2312" w:cs="Times New Roman"/>
          <w:sz w:val="32"/>
        </w:rPr>
        <w:t>下降/增长的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主要原因包括：......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根据×××（如外事部门等）安排的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年出国计划，拟安排出国（境）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团（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组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次，出国（境）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人。出国（境）团组主要包括：1.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团组：目的地为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  <w:t>无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，人数为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人，天数为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天，主要任务为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  <w:t>无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：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；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公务用车购置及运行费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万元（其中，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公务用车购置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，公务用车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运行费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万元）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。公务车保有量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辆，计划购置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辆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；</w:t>
      </w:r>
      <w:r>
        <w:rPr>
          <w:rFonts w:ascii="仿宋_GB2312" w:hAnsi="黑体" w:eastAsia="仿宋_GB2312" w:cs="Times New Roman"/>
          <w:sz w:val="32"/>
          <w:szCs w:val="32"/>
        </w:rPr>
        <w:t>公务接待费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万元，与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年预算持平。</w:t>
      </w:r>
      <w:r>
        <w:rPr>
          <w:rFonts w:ascii="Times New Roman" w:hAnsi="Times New Roman" w:eastAsia="仿宋_GB2312" w:cs="Times New Roman"/>
          <w:sz w:val="32"/>
        </w:rPr>
        <w:t>下降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Times New Roman" w:hAnsi="Times New Roman" w:eastAsia="仿宋_GB2312" w:cs="Times New Roman"/>
          <w:sz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</w:rPr>
        <w:t>/增长的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主要原因包括：......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，计划接待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年政府性基金预算“三公”经费预算数为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Times New Roman" w:hAnsi="Times New Roman" w:eastAsia="仿宋_GB2312" w:cs="Times New Roman"/>
          <w:b/>
          <w:bCs/>
          <w:sz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因公出国（境）经费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年预算持平。</w:t>
      </w:r>
      <w:r>
        <w:rPr>
          <w:rFonts w:ascii="Times New Roman" w:hAnsi="Times New Roman" w:eastAsia="仿宋_GB2312" w:cs="Times New Roman"/>
          <w:sz w:val="32"/>
        </w:rPr>
        <w:t>下降/增长的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主要原因包括：......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根据×××（如外事部门等）安排的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年出国计划，拟安排出国（境）组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次，出国（境）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人。出国（境）团组主要包括：1.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团组：目的地为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  <w:t>无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，人数为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人，天数为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天，主要任务为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  <w:t>无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；......公务用车购置及运行费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万元（其中，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公务用车购置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，公务用车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运行费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万元）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。</w:t>
      </w:r>
      <w:r>
        <w:rPr>
          <w:rFonts w:ascii="Times New Roman" w:hAnsi="Times New Roman" w:eastAsia="仿宋_GB2312" w:cs="Times New Roman"/>
          <w:sz w:val="32"/>
        </w:rPr>
        <w:t>下降/增长的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主要原因包括：......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；公务车保有量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辆，计划购置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辆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  <w:r>
        <w:rPr>
          <w:rFonts w:ascii="仿宋_GB2312" w:hAnsi="黑体" w:eastAsia="仿宋_GB2312" w:cs="Times New Roman"/>
          <w:sz w:val="32"/>
          <w:szCs w:val="32"/>
        </w:rPr>
        <w:t>公务接待费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万元，与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sz w:val="32"/>
        </w:rPr>
        <w:t>下降/增长的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主要原因包括：......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。计划接待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批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五、关于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</w:t>
      </w: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政府性基金预算当年拨款情况说明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（一）政府性基金预算当年规模变化情况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</w:rPr>
        <w:t>政府性基金预算当年拨款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万元，和上年预算数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持平。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（二）政府性基金预算当年拨款结构情况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800" w:firstLineChars="25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科学技术支出（类）支出0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%；文化体育与传媒支出（类）</w:t>
      </w:r>
      <w:r>
        <w:rPr>
          <w:rFonts w:hint="eastAsia" w:ascii="仿宋_GB2312" w:hAnsi="黑体" w:eastAsia="仿宋_GB2312" w:cs="仿宋_GB2312"/>
          <w:sz w:val="32"/>
          <w:szCs w:val="32"/>
        </w:rPr>
        <w:t>支出0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%；社会保障和就业支出（类）</w:t>
      </w:r>
      <w:r>
        <w:rPr>
          <w:rFonts w:hint="eastAsia" w:ascii="仿宋_GB2312" w:hAnsi="黑体" w:eastAsia="仿宋_GB2312" w:cs="仿宋_GB2312"/>
          <w:sz w:val="32"/>
          <w:szCs w:val="32"/>
        </w:rPr>
        <w:t>支出0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%；节能环保（类）</w:t>
      </w:r>
      <w:r>
        <w:rPr>
          <w:rFonts w:hint="eastAsia" w:ascii="仿宋_GB2312" w:hAnsi="黑体" w:eastAsia="仿宋_GB2312" w:cs="仿宋_GB2312"/>
          <w:sz w:val="32"/>
          <w:szCs w:val="32"/>
        </w:rPr>
        <w:t>支出0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（三）政府性基金预算当年拨款具体使用情况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1. 科学技术支出（类）核电站乏燃料处理处置基金支出（款）乏燃料运输（项）20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万元，和上年预算数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持平。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科学技术支出（类）核电站乏燃料处理处置基金支出（款）乏燃料离堆贮存（项）20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万元，和上年预算数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持平。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77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六、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海口市城郊供销合作社单位2021</w:t>
      </w:r>
      <w:r>
        <w:rPr>
          <w:rFonts w:ascii="黑体" w:hAnsi="黑体" w:eastAsia="黑体" w:cs="黑体"/>
          <w:spacing w:val="-26"/>
          <w:sz w:val="32"/>
          <w:szCs w:val="32"/>
          <w:shd w:val="clear" w:fill="FFFFFE"/>
        </w:rPr>
        <w:t>年</w:t>
      </w: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收支预算情况的总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0" w:line="360" w:lineRule="auto"/>
        <w:ind w:firstLine="25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  <w:shd w:val="clear" w:fill="FFFFFE"/>
        </w:rPr>
        <w:t>体说明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按照综合预算原则，</w:t>
      </w: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ascii="仿宋" w:hAnsi="仿宋" w:eastAsia="仿宋" w:cs="仿宋"/>
          <w:spacing w:val="-20"/>
          <w:sz w:val="32"/>
          <w:szCs w:val="32"/>
        </w:rPr>
        <w:t>所有收入和支</w:t>
      </w:r>
      <w:r>
        <w:rPr>
          <w:rFonts w:ascii="仿宋" w:hAnsi="仿宋" w:eastAsia="仿宋" w:cs="仿宋"/>
          <w:spacing w:val="-11"/>
          <w:sz w:val="32"/>
          <w:szCs w:val="32"/>
        </w:rPr>
        <w:t>出均纳入部门预算管理。收入包括：</w:t>
      </w:r>
      <w:r>
        <w:rPr>
          <w:rFonts w:hint="eastAsia" w:ascii="仿宋" w:hAnsi="仿宋" w:eastAsia="仿宋" w:cs="仿宋_GB2312"/>
          <w:sz w:val="32"/>
          <w:szCs w:val="32"/>
        </w:rPr>
        <w:t>收入主要是一般公共预算拨款收入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支出包括：社会保障和就业支出、医疗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 w:cs="仿宋_GB2312"/>
          <w:sz w:val="32"/>
          <w:szCs w:val="32"/>
        </w:rPr>
        <w:t>支出、商业服务业等支出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t>住房保障支出。海口市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_GB2312"/>
          <w:sz w:val="32"/>
          <w:szCs w:val="32"/>
        </w:rPr>
        <w:t>年收支总预算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166.16</w:t>
      </w:r>
      <w:r>
        <w:rPr>
          <w:rFonts w:hint="eastAsia" w:ascii="仿宋" w:hAnsi="仿宋" w:eastAsia="仿宋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0" w:line="360" w:lineRule="auto"/>
        <w:ind w:firstLine="38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15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七、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海口市城郊供销合作社单位2021</w:t>
      </w:r>
      <w:r>
        <w:rPr>
          <w:rFonts w:ascii="黑体" w:hAnsi="黑体" w:eastAsia="黑体" w:cs="黑体"/>
          <w:spacing w:val="-26"/>
          <w:sz w:val="32"/>
          <w:szCs w:val="32"/>
          <w:shd w:val="clear" w:fill="FFFFFE"/>
        </w:rPr>
        <w:t>年</w:t>
      </w: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收入预算情况说明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8"/>
        <w:textAlignment w:val="baseline"/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黑体" w:eastAsia="仿宋_GB2312" w:cs="仿宋_GB2312"/>
          <w:sz w:val="32"/>
          <w:szCs w:val="32"/>
        </w:rPr>
        <w:t>20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sz w:val="32"/>
          <w:szCs w:val="32"/>
        </w:rPr>
        <w:t>年收入预算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166.16</w:t>
      </w:r>
      <w:r>
        <w:rPr>
          <w:rFonts w:hint="eastAsia" w:ascii="仿宋_GB2312" w:hAnsi="黑体" w:eastAsia="仿宋_GB2312"/>
          <w:sz w:val="32"/>
          <w:szCs w:val="32"/>
        </w:rPr>
        <w:t>万元，其中：上年结转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%；经费拨款收入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166.16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100</w:t>
      </w:r>
      <w:r>
        <w:rPr>
          <w:rFonts w:hint="eastAsia" w:ascii="仿宋_GB2312" w:hAnsi="黑体" w:eastAsia="仿宋_GB2312"/>
          <w:sz w:val="32"/>
          <w:szCs w:val="32"/>
        </w:rPr>
        <w:t>%；政府性基金收入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%；专项收入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%。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比上年预算数增加1.01万元，主要是增加了党建新标杆工作项目。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6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八、关于</w:t>
      </w: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海口市城郊供销合作社单位2021</w:t>
      </w:r>
      <w:r>
        <w:rPr>
          <w:rFonts w:ascii="黑体" w:hAnsi="黑体" w:eastAsia="黑体" w:cs="黑体"/>
          <w:spacing w:val="-16"/>
          <w:sz w:val="32"/>
          <w:szCs w:val="32"/>
          <w:shd w:val="clear" w:fill="FFFFFE"/>
        </w:rPr>
        <w:t>年支出预算情况说明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688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黑体" w:eastAsia="仿宋_GB2312" w:cs="仿宋_GB2312"/>
          <w:sz w:val="32"/>
          <w:szCs w:val="32"/>
        </w:rPr>
        <w:t>20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21年</w:t>
      </w:r>
      <w:r>
        <w:rPr>
          <w:rFonts w:hint="eastAsia" w:ascii="仿宋_GB2312" w:hAnsi="黑体" w:eastAsia="仿宋_GB2312"/>
          <w:sz w:val="32"/>
          <w:szCs w:val="32"/>
        </w:rPr>
        <w:t>支出预算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166.16</w:t>
      </w:r>
      <w:r>
        <w:rPr>
          <w:rFonts w:hint="eastAsia" w:ascii="仿宋_GB2312" w:hAnsi="黑体" w:eastAsia="仿宋_GB2312"/>
          <w:sz w:val="32"/>
          <w:szCs w:val="32"/>
        </w:rPr>
        <w:t>万元，其中：基本支出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146.16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87.96</w:t>
      </w:r>
      <w:r>
        <w:rPr>
          <w:rFonts w:hint="eastAsia" w:ascii="仿宋_GB2312" w:hAnsi="黑体" w:eastAsia="仿宋_GB2312"/>
          <w:sz w:val="32"/>
          <w:szCs w:val="32"/>
        </w:rPr>
        <w:t>%；项目支出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12.04</w:t>
      </w:r>
      <w:r>
        <w:rPr>
          <w:rFonts w:hint="eastAsia" w:ascii="仿宋_GB2312" w:hAnsi="黑体" w:eastAsia="仿宋_GB2312"/>
          <w:sz w:val="32"/>
          <w:szCs w:val="32"/>
        </w:rPr>
        <w:t>%。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比上年预算数增加1.01万元，主要是增加了党建新标杆工作项目。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75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:shd w:val="clear" w:fill="FFFFFE"/>
        </w:rPr>
        <w:t>九、其他重要事项的情况说明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default" w:ascii="楷体" w:hAnsi="楷体" w:eastAsia="楷体"/>
          <w:sz w:val="32"/>
          <w:szCs w:val="32"/>
          <w:lang w:val="en-US"/>
        </w:rPr>
      </w:pPr>
      <w:r>
        <w:rPr>
          <w:rFonts w:hint="eastAsia" w:ascii="楷体" w:hAnsi="楷体" w:eastAsia="楷体"/>
          <w:sz w:val="32"/>
          <w:szCs w:val="32"/>
        </w:rPr>
        <w:t>（一）机关运行经费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/>
          <w:sz w:val="32"/>
          <w:szCs w:val="32"/>
        </w:rPr>
        <w:t>行政单位</w:t>
      </w:r>
      <w:r>
        <w:rPr>
          <w:rFonts w:hint="eastAsia" w:ascii="楷体" w:hAnsi="楷体" w:eastAsia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/>
          <w:sz w:val="32"/>
          <w:szCs w:val="32"/>
        </w:rPr>
        <w:t>参照公务员法管理的事业单位</w:t>
      </w:r>
      <w:r>
        <w:rPr>
          <w:rFonts w:hint="eastAsia" w:ascii="楷体" w:hAnsi="楷体" w:eastAsia="楷体"/>
          <w:sz w:val="32"/>
          <w:szCs w:val="32"/>
          <w:lang w:eastAsia="zh-CN"/>
        </w:rPr>
        <w:t>需说明，其他单位不需要说明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）（无）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（二）政府采购情况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黑体" w:eastAsia="仿宋_GB2312" w:cs="仿宋_GB2312"/>
          <w:sz w:val="32"/>
          <w:szCs w:val="32"/>
        </w:rPr>
        <w:t>政府采购预算总额0</w:t>
      </w:r>
      <w:r>
        <w:rPr>
          <w:rFonts w:hint="eastAsia" w:ascii="仿宋_GB2312" w:hAnsi="黑体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万元，政府采购工程预算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万元，政府采购服务预算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（三）国有资产占有使用情况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截至20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年12月31日，</w:t>
      </w: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黑体" w:eastAsia="仿宋_GB2312" w:cs="仿宋_GB2312"/>
          <w:sz w:val="32"/>
          <w:szCs w:val="32"/>
        </w:rPr>
        <w:t>共有车辆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 w:cs="仿宋_GB2312"/>
          <w:sz w:val="32"/>
          <w:szCs w:val="32"/>
        </w:rPr>
        <w:t>辆，其中，领导干部用车0辆，机要通信应急用车0辆、一般执法执勤用车0辆、特种专业技术用车0辆、其他用车1辆。单位价值100万元以上设备0台（套）。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（四）绩效目标设置情况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海口市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城郊</w:t>
      </w:r>
      <w:r>
        <w:rPr>
          <w:rFonts w:hint="eastAsia" w:ascii="仿宋" w:hAnsi="仿宋" w:eastAsia="仿宋" w:cs="仿宋_GB2312"/>
          <w:sz w:val="32"/>
          <w:szCs w:val="32"/>
        </w:rPr>
        <w:t>供销合作社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黑体" w:eastAsia="仿宋_GB2312" w:cs="仿宋_GB2312"/>
          <w:sz w:val="32"/>
          <w:szCs w:val="32"/>
        </w:rPr>
        <w:t>1个项目实行绩效目标管理，涉及一般公共预算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万元、政府性基金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5" w:line="360" w:lineRule="auto"/>
        <w:ind w:firstLine="2734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第四部分</w:t>
      </w:r>
      <w:r>
        <w:rPr>
          <w:rFonts w:ascii="黑体" w:hAnsi="黑体" w:eastAsia="黑体" w:cs="黑体"/>
          <w:spacing w:val="10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名词解释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360" w:lineRule="auto"/>
        <w:ind w:firstLine="681"/>
        <w:textAlignment w:val="baseline"/>
        <w:rPr>
          <w:rFonts w:ascii="仿宋" w:hAnsi="仿宋" w:eastAsia="仿宋" w:cs="仿宋"/>
          <w:spacing w:val="-3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一、财政拨款收入：指本级财政当年拨付的资金。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360" w:lineRule="auto"/>
        <w:ind w:firstLine="681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二、事业收入：指事业单位开展专业业务活动及辅助活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动取得的收入。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9" w:right="280" w:firstLine="64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三、经营收入：指事业单位在专业业务活动及其辅助活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动之外开展非独立核算经营活动取得的收入。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left="1" w:right="118" w:firstLine="712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四、其他收入：指除上述“财政拨款收入”“事业收入”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“经营收入”等以外的收入。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left="41" w:right="282" w:firstLine="639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五、年初结转和结余：指以前年度尚未完成、结转到本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年按有关规定继续使用的资金。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firstLine="67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六、基本支出：指行政事业单位用于为保障其机构正常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0" w:line="360" w:lineRule="auto"/>
        <w:ind w:firstLine="3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运转、完成日常工作任务而发生的人员支出和公用支出。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360" w:lineRule="auto"/>
        <w:ind w:left="35" w:right="107" w:firstLine="647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七、工资福利支出：反映单位开支的在职职工和编制外长期聘用人员的各类劳动报酬，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以及为上述人员缴纳的各项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社会保险费等。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9" w:right="107" w:firstLine="63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八、对个人和家庭的补助支出：反映政府用于对个人和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家庭的补助支出，包括离休费、退休费、退职（役）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费、抚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恤金、生活补助、救济费、医疗费补助、助学金、独生子女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奖励金、其他等。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3" w:line="360" w:lineRule="auto"/>
        <w:ind w:left="35" w:right="12" w:firstLine="652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九、商品和服务支出：反映单位购买商品和服务的支出，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包括办公费、水费、电费、邮电费、培训费、公务用车运行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维护费、差旅费、</w:t>
      </w:r>
      <w:r>
        <w:rPr>
          <w:rFonts w:ascii="仿宋" w:hAnsi="仿宋" w:eastAsia="仿宋" w:cs="仿宋"/>
          <w:spacing w:val="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因公出国（境）费用、公务接待费、工会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经费、会议费、福利费、物业管理费、维修（护）费、其他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left="35" w:right="107" w:firstLine="649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十、项目支出：指各部门、各单位为完成其特定的工作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任务和事业发展目标所发生的支出。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6" w:firstLine="648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十一、“三公”经费：包括因公出国（境）</w:t>
      </w:r>
      <w:r>
        <w:rPr>
          <w:rFonts w:ascii="仿宋" w:hAnsi="仿宋" w:eastAsia="仿宋" w:cs="仿宋"/>
          <w:spacing w:val="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费、公务用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车购置及运行费和公务接待费。其中，</w:t>
      </w:r>
      <w:r>
        <w:rPr>
          <w:rFonts w:ascii="仿宋" w:hAnsi="仿宋" w:eastAsia="仿宋" w:cs="仿宋"/>
          <w:spacing w:val="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因公出国（境）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费指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单位公务出国（境）的国际旅费、国外城市间交通费、住宿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费、伙食费、培训费、公杂费等支出；</w:t>
      </w:r>
      <w:r>
        <w:rPr>
          <w:rFonts w:ascii="仿宋" w:hAnsi="仿宋" w:eastAsia="仿宋" w:cs="仿宋"/>
          <w:spacing w:val="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公务用车购置及运行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费指单位公务用车车辆购置支出（含车辆购置税）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及燃料费、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维修费、过路过桥费、保险费、安全奖励费用等支出；</w:t>
      </w:r>
      <w:r>
        <w:rPr>
          <w:rFonts w:ascii="仿宋" w:hAnsi="仿宋" w:eastAsia="仿宋" w:cs="仿宋"/>
          <w:spacing w:val="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公务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接待费指单位按规定开支的各类公务接待（含外宾接待）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支</w:t>
      </w:r>
      <w:r>
        <w:rPr>
          <w:rFonts w:ascii="仿宋" w:hAnsi="仿宋" w:eastAsia="仿宋" w:cs="仿宋"/>
          <w:spacing w:val="-24"/>
          <w:sz w:val="32"/>
          <w:szCs w:val="32"/>
        </w:rPr>
        <w:t>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360" w:lineRule="auto"/>
        <w:ind w:left="39" w:firstLine="64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十二、机关运行经费：为保障行政单位（含参照公务员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法管理的事业单位）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运行用于购买货物和服务的各项资金，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包括办公及印刷费、邮电费、差旅费、会议费、日常维修费、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专用材料及一般设备购置费、办公用房水电费、办公用房取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暖费、办公用房物业管理费、公务用车运行维护费以及其他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费用。</w:t>
      </w:r>
    </w:p>
    <w:sectPr>
      <w:pgSz w:w="11907" w:h="16839"/>
      <w:pgMar w:top="1431" w:right="171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B9BB2F"/>
    <w:multiLevelType w:val="singleLevel"/>
    <w:tmpl w:val="DEB9BB2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2MjYwNzU2YjRhNmE5MDYyYmYwMmMzNWI1MzgwODMifQ=="/>
  </w:docVars>
  <w:rsids>
    <w:rsidRoot w:val="00000000"/>
    <w:rsid w:val="000E7463"/>
    <w:rsid w:val="00305C8F"/>
    <w:rsid w:val="00671208"/>
    <w:rsid w:val="02502671"/>
    <w:rsid w:val="026E2AF7"/>
    <w:rsid w:val="036068E4"/>
    <w:rsid w:val="03CA0FEA"/>
    <w:rsid w:val="04C33B11"/>
    <w:rsid w:val="04CB7CC6"/>
    <w:rsid w:val="05FE0636"/>
    <w:rsid w:val="072365A6"/>
    <w:rsid w:val="076D2D2B"/>
    <w:rsid w:val="07B611C8"/>
    <w:rsid w:val="084A7B62"/>
    <w:rsid w:val="089808CE"/>
    <w:rsid w:val="09475E50"/>
    <w:rsid w:val="098722A0"/>
    <w:rsid w:val="0A4D2FE7"/>
    <w:rsid w:val="0A746DFD"/>
    <w:rsid w:val="0BE67BA2"/>
    <w:rsid w:val="0DE27FC6"/>
    <w:rsid w:val="0EF600FC"/>
    <w:rsid w:val="0F422794"/>
    <w:rsid w:val="0F601330"/>
    <w:rsid w:val="100B407B"/>
    <w:rsid w:val="10741C20"/>
    <w:rsid w:val="12BD2280"/>
    <w:rsid w:val="12D746E8"/>
    <w:rsid w:val="131B6383"/>
    <w:rsid w:val="149A59CD"/>
    <w:rsid w:val="154B3CDA"/>
    <w:rsid w:val="163E682D"/>
    <w:rsid w:val="16526560"/>
    <w:rsid w:val="170959F9"/>
    <w:rsid w:val="1AA2769E"/>
    <w:rsid w:val="1B3E3557"/>
    <w:rsid w:val="1BE35EAC"/>
    <w:rsid w:val="1C3703BA"/>
    <w:rsid w:val="1D913F67"/>
    <w:rsid w:val="1E5A23B5"/>
    <w:rsid w:val="1E800CB0"/>
    <w:rsid w:val="20566C4C"/>
    <w:rsid w:val="21022930"/>
    <w:rsid w:val="21AB2FC8"/>
    <w:rsid w:val="220F79FB"/>
    <w:rsid w:val="222D1C2F"/>
    <w:rsid w:val="24303AA4"/>
    <w:rsid w:val="247E2C16"/>
    <w:rsid w:val="26393298"/>
    <w:rsid w:val="27456FA3"/>
    <w:rsid w:val="28140862"/>
    <w:rsid w:val="28DE1ED5"/>
    <w:rsid w:val="2996214F"/>
    <w:rsid w:val="2A097F53"/>
    <w:rsid w:val="2AD24DFA"/>
    <w:rsid w:val="2D503944"/>
    <w:rsid w:val="2D7921CC"/>
    <w:rsid w:val="2E095952"/>
    <w:rsid w:val="2E953036"/>
    <w:rsid w:val="2ECF57C8"/>
    <w:rsid w:val="2EDF3F4F"/>
    <w:rsid w:val="2F0361F1"/>
    <w:rsid w:val="2FDA6A69"/>
    <w:rsid w:val="30D07FA5"/>
    <w:rsid w:val="3103547C"/>
    <w:rsid w:val="315E1E05"/>
    <w:rsid w:val="317C04DD"/>
    <w:rsid w:val="33CF29B4"/>
    <w:rsid w:val="34D16D92"/>
    <w:rsid w:val="35316660"/>
    <w:rsid w:val="37B5307D"/>
    <w:rsid w:val="38AA05EA"/>
    <w:rsid w:val="3A091780"/>
    <w:rsid w:val="3A872B9C"/>
    <w:rsid w:val="3B8E7126"/>
    <w:rsid w:val="3D5F7829"/>
    <w:rsid w:val="3D695DB9"/>
    <w:rsid w:val="3E483328"/>
    <w:rsid w:val="3EF21DDE"/>
    <w:rsid w:val="3F220916"/>
    <w:rsid w:val="40224945"/>
    <w:rsid w:val="40537DE8"/>
    <w:rsid w:val="407F58F4"/>
    <w:rsid w:val="42517E9B"/>
    <w:rsid w:val="426923B8"/>
    <w:rsid w:val="44703ED1"/>
    <w:rsid w:val="44BA1590"/>
    <w:rsid w:val="46181376"/>
    <w:rsid w:val="46BA1D52"/>
    <w:rsid w:val="49095DF0"/>
    <w:rsid w:val="4B087C2A"/>
    <w:rsid w:val="4C0150AE"/>
    <w:rsid w:val="4C0A4C0B"/>
    <w:rsid w:val="4C2C4B82"/>
    <w:rsid w:val="4C687B84"/>
    <w:rsid w:val="4C854292"/>
    <w:rsid w:val="4CB1781A"/>
    <w:rsid w:val="4CC26F13"/>
    <w:rsid w:val="50634852"/>
    <w:rsid w:val="50903205"/>
    <w:rsid w:val="51764CEF"/>
    <w:rsid w:val="54244390"/>
    <w:rsid w:val="54976DE1"/>
    <w:rsid w:val="549F7EBB"/>
    <w:rsid w:val="565C2F48"/>
    <w:rsid w:val="571E166C"/>
    <w:rsid w:val="574A2360"/>
    <w:rsid w:val="578E790A"/>
    <w:rsid w:val="59DE3233"/>
    <w:rsid w:val="5B536054"/>
    <w:rsid w:val="5C537F09"/>
    <w:rsid w:val="5C6914DA"/>
    <w:rsid w:val="5C8E7193"/>
    <w:rsid w:val="5CF9548E"/>
    <w:rsid w:val="5E627153"/>
    <w:rsid w:val="5EEA0A39"/>
    <w:rsid w:val="5FB118C9"/>
    <w:rsid w:val="5FC83656"/>
    <w:rsid w:val="5FD16FE2"/>
    <w:rsid w:val="629100B0"/>
    <w:rsid w:val="62D00754"/>
    <w:rsid w:val="63015BB4"/>
    <w:rsid w:val="63EF49BB"/>
    <w:rsid w:val="641F4B74"/>
    <w:rsid w:val="66CC2CAC"/>
    <w:rsid w:val="69256789"/>
    <w:rsid w:val="694E2184"/>
    <w:rsid w:val="69B108F4"/>
    <w:rsid w:val="69C47E81"/>
    <w:rsid w:val="6A507835"/>
    <w:rsid w:val="6ADF2852"/>
    <w:rsid w:val="6C347C33"/>
    <w:rsid w:val="6D383919"/>
    <w:rsid w:val="6D521B17"/>
    <w:rsid w:val="6E613EE4"/>
    <w:rsid w:val="6F082D70"/>
    <w:rsid w:val="7113780F"/>
    <w:rsid w:val="72A15EEA"/>
    <w:rsid w:val="741B7106"/>
    <w:rsid w:val="74D3178F"/>
    <w:rsid w:val="74E902CB"/>
    <w:rsid w:val="7501034C"/>
    <w:rsid w:val="76096BC3"/>
    <w:rsid w:val="76491651"/>
    <w:rsid w:val="76872831"/>
    <w:rsid w:val="782D01E2"/>
    <w:rsid w:val="79450781"/>
    <w:rsid w:val="79CE69C9"/>
    <w:rsid w:val="7A1A73F5"/>
    <w:rsid w:val="7A9A74B6"/>
    <w:rsid w:val="7B030E8F"/>
    <w:rsid w:val="7BDF2C97"/>
    <w:rsid w:val="7C10487B"/>
    <w:rsid w:val="7D166E29"/>
    <w:rsid w:val="7E6873EC"/>
    <w:rsid w:val="7E856A77"/>
    <w:rsid w:val="7ED11E07"/>
    <w:rsid w:val="7F543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qFormat/>
    <w:uiPriority w:val="9"/>
    <w:pPr>
      <w:spacing w:before="100" w:beforeLines="0" w:beforeAutospacing="0" w:after="100" w:afterLines="0" w:afterAutospacing="0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paragraph" w:styleId="3">
    <w:name w:val="heading 4"/>
    <w:basedOn w:val="2"/>
    <w:next w:val="1"/>
    <w:qFormat/>
    <w:uiPriority w:val="9"/>
    <w:pPr>
      <w:spacing w:before="100" w:beforeLines="0" w:beforeAutospacing="0" w:after="100" w:afterLines="0" w:afterAutospacing="0"/>
      <w:jc w:val="left"/>
      <w:outlineLvl w:val="3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4132</Words>
  <Characters>4493</Characters>
  <TotalTime>17</TotalTime>
  <ScaleCrop>false</ScaleCrop>
  <LinksUpToDate>false</LinksUpToDate>
  <CharactersWithSpaces>4589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2022-02-10T10:08:00Z</dcterms:created>
  <dc:creator>null,null,总收发</dc:creator>
  <cp:lastModifiedBy>wleking</cp:lastModifiedBy>
  <dcterms:modified xsi:type="dcterms:W3CDTF">2022-09-05T00:27:04Z</dcterms:modified>
  <dc:title>××年××部门（单位）预算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2022-02-23T08:43:53Z</vt:filetime>
  </property>
  <property fmtid="{D5CDD505-2E9C-101B-9397-08002B2CF9AE}" pid="4" name="KSOProductBuildVer">
    <vt:lpwstr>2052-11.1.0.12313</vt:lpwstr>
  </property>
  <property fmtid="{D5CDD505-2E9C-101B-9397-08002B2CF9AE}" pid="5" name="ICV">
    <vt:lpwstr>25989F219224420D8508B39E316E7C20</vt:lpwstr>
  </property>
</Properties>
</file>